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094" w:rsidRDefault="00490094" w:rsidP="00490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5B3">
        <w:rPr>
          <w:rFonts w:ascii="Times New Roman" w:hAnsi="Times New Roman" w:cs="Times New Roman"/>
          <w:b/>
          <w:bCs/>
          <w:sz w:val="28"/>
          <w:szCs w:val="28"/>
        </w:rPr>
        <w:t>Тема 2. Риск-менеджмент как управленческий процесс</w:t>
      </w:r>
    </w:p>
    <w:p w:rsidR="00490094" w:rsidRPr="002825B3" w:rsidRDefault="00490094" w:rsidP="004900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0094" w:rsidRPr="00F063B5" w:rsidRDefault="00490094" w:rsidP="00490094">
      <w:pPr>
        <w:pStyle w:val="a3"/>
        <w:numPr>
          <w:ilvl w:val="1"/>
          <w:numId w:val="4"/>
        </w:numPr>
        <w:jc w:val="center"/>
        <w:rPr>
          <w:sz w:val="28"/>
          <w:szCs w:val="28"/>
        </w:rPr>
      </w:pPr>
      <w:r w:rsidRPr="00F063B5">
        <w:rPr>
          <w:sz w:val="28"/>
          <w:szCs w:val="28"/>
        </w:rPr>
        <w:t>Ст</w:t>
      </w:r>
      <w:r w:rsidR="00197DCF">
        <w:rPr>
          <w:sz w:val="28"/>
          <w:szCs w:val="28"/>
        </w:rPr>
        <w:t>атистические методы оценки рисков</w:t>
      </w:r>
    </w:p>
    <w:p w:rsidR="00490094" w:rsidRPr="00F063B5" w:rsidRDefault="00490094" w:rsidP="00490094">
      <w:pPr>
        <w:pStyle w:val="a3"/>
        <w:rPr>
          <w:sz w:val="28"/>
          <w:szCs w:val="28"/>
        </w:rPr>
      </w:pPr>
    </w:p>
    <w:p w:rsidR="00490094" w:rsidRPr="00F063B5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F063B5">
        <w:rPr>
          <w:rFonts w:ascii="Arial" w:hAnsi="Arial" w:cs="Arial"/>
          <w:bCs/>
          <w:sz w:val="28"/>
          <w:szCs w:val="28"/>
        </w:rPr>
        <w:t xml:space="preserve">Под </w:t>
      </w:r>
      <w:r w:rsidRPr="00274B82">
        <w:rPr>
          <w:rFonts w:ascii="Times New Roman" w:hAnsi="Times New Roman" w:cs="Times New Roman"/>
          <w:bCs/>
          <w:sz w:val="28"/>
          <w:szCs w:val="28"/>
          <w:u w:val="single"/>
        </w:rPr>
        <w:t>оценкой риска</w:t>
      </w:r>
      <w:r w:rsidRPr="00F063B5">
        <w:rPr>
          <w:rFonts w:ascii="Arial" w:hAnsi="Arial" w:cs="Arial"/>
          <w:bCs/>
          <w:sz w:val="28"/>
          <w:szCs w:val="28"/>
        </w:rPr>
        <w:t xml:space="preserve"> понимается «п</w:t>
      </w:r>
      <w:r w:rsidRPr="00F063B5">
        <w:rPr>
          <w:rFonts w:ascii="Arial" w:eastAsia="TimesNewRomanPSMT" w:hAnsi="Arial" w:cs="Arial"/>
          <w:sz w:val="28"/>
          <w:szCs w:val="28"/>
        </w:rPr>
        <w:t xml:space="preserve">роцесс присвоения значений вероятности и последствий риска» </w:t>
      </w:r>
      <w:r w:rsidRPr="00F063B5">
        <w:rPr>
          <w:rFonts w:ascii="Arial" w:hAnsi="Arial" w:cs="Arial"/>
          <w:sz w:val="28"/>
          <w:szCs w:val="28"/>
        </w:rPr>
        <w:t>[</w:t>
      </w:r>
      <w:r>
        <w:rPr>
          <w:rFonts w:ascii="Arial" w:hAnsi="Arial" w:cs="Arial"/>
          <w:sz w:val="28"/>
          <w:szCs w:val="28"/>
        </w:rPr>
        <w:t>1</w:t>
      </w:r>
      <w:r w:rsidRPr="00F063B5">
        <w:rPr>
          <w:rFonts w:ascii="Arial" w:hAnsi="Arial" w:cs="Arial"/>
          <w:sz w:val="28"/>
          <w:szCs w:val="28"/>
        </w:rPr>
        <w:t>].</w:t>
      </w: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86A93">
        <w:rPr>
          <w:rFonts w:ascii="Arial" w:hAnsi="Arial" w:cs="Arial"/>
          <w:sz w:val="28"/>
          <w:szCs w:val="28"/>
        </w:rPr>
        <w:t>Ассоциируемые с риском экономические величины являются стохастическими (например, прибыль, курс  акций)</w:t>
      </w:r>
      <w:r>
        <w:rPr>
          <w:rFonts w:ascii="Arial" w:hAnsi="Arial" w:cs="Arial"/>
          <w:sz w:val="28"/>
          <w:szCs w:val="28"/>
        </w:rPr>
        <w:t>,</w:t>
      </w:r>
      <w:r w:rsidRPr="00A86A93">
        <w:rPr>
          <w:rFonts w:ascii="Arial" w:hAnsi="Arial" w:cs="Arial"/>
          <w:sz w:val="28"/>
          <w:szCs w:val="28"/>
        </w:rPr>
        <w:t xml:space="preserve"> закон распределения которых каким-либо способом можно установить, </w:t>
      </w:r>
      <w:r>
        <w:rPr>
          <w:rFonts w:ascii="Arial" w:hAnsi="Arial" w:cs="Arial"/>
          <w:sz w:val="28"/>
          <w:szCs w:val="28"/>
        </w:rPr>
        <w:t>в противоположном случае – это ситуация неопределенности.</w:t>
      </w:r>
    </w:p>
    <w:p w:rsidR="00490094" w:rsidRPr="00A86A93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Таким образом, примем, что</w:t>
      </w:r>
      <w:r w:rsidRPr="00A86A93">
        <w:rPr>
          <w:rFonts w:ascii="Arial" w:hAnsi="Arial" w:cs="Arial"/>
          <w:sz w:val="28"/>
          <w:szCs w:val="28"/>
        </w:rPr>
        <w:t xml:space="preserve"> задано множество </w:t>
      </w:r>
      <w:r w:rsidRPr="00A86A93">
        <w:rPr>
          <w:rFonts w:ascii="Arial" w:hAnsi="Arial" w:cs="Arial"/>
          <w:i/>
          <w:sz w:val="28"/>
          <w:szCs w:val="28"/>
          <w:lang w:val="en-US"/>
        </w:rPr>
        <w:t>X</w:t>
      </w:r>
      <w:r w:rsidRPr="00A86A93">
        <w:rPr>
          <w:rFonts w:ascii="Arial" w:hAnsi="Arial" w:cs="Arial"/>
          <w:i/>
          <w:sz w:val="28"/>
          <w:szCs w:val="28"/>
        </w:rPr>
        <w:t>={</w:t>
      </w:r>
      <w:r w:rsidRPr="00A86A93">
        <w:rPr>
          <w:rFonts w:ascii="Arial" w:hAnsi="Arial" w:cs="Arial"/>
          <w:i/>
          <w:sz w:val="28"/>
          <w:szCs w:val="28"/>
          <w:lang w:val="en-US"/>
        </w:rPr>
        <w:t>x</w:t>
      </w:r>
      <w:r w:rsidRPr="00A86A93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r w:rsidRPr="00A86A93">
        <w:rPr>
          <w:rFonts w:ascii="Arial" w:hAnsi="Arial" w:cs="Arial"/>
          <w:i/>
          <w:sz w:val="28"/>
          <w:szCs w:val="28"/>
        </w:rPr>
        <w:t xml:space="preserve">, </w:t>
      </w:r>
      <w:r w:rsidRPr="00A86A93">
        <w:rPr>
          <w:rFonts w:ascii="Arial" w:hAnsi="Arial" w:cs="Arial"/>
          <w:i/>
          <w:sz w:val="28"/>
          <w:szCs w:val="28"/>
          <w:lang w:val="en-US"/>
        </w:rPr>
        <w:t>i</w:t>
      </w:r>
      <w:r w:rsidRPr="00A86A93">
        <w:rPr>
          <w:rFonts w:ascii="Arial" w:hAnsi="Arial" w:cs="Arial"/>
          <w:i/>
          <w:sz w:val="28"/>
          <w:szCs w:val="28"/>
        </w:rPr>
        <w:t>=</w:t>
      </w:r>
      <m:oMath>
        <m:acc>
          <m:accPr>
            <m:chr m:val="⃗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</m:acc>
      </m:oMath>
      <w:r w:rsidRPr="00A86A93">
        <w:rPr>
          <w:rFonts w:ascii="Arial" w:hAnsi="Arial" w:cs="Arial"/>
          <w:i/>
          <w:sz w:val="28"/>
          <w:szCs w:val="28"/>
        </w:rPr>
        <w:t xml:space="preserve">} </w:t>
      </w:r>
      <w:r w:rsidRPr="00A86A93">
        <w:rPr>
          <w:rFonts w:ascii="Arial" w:hAnsi="Arial" w:cs="Arial"/>
          <w:sz w:val="28"/>
          <w:szCs w:val="28"/>
        </w:rPr>
        <w:t>и</w:t>
      </w:r>
      <w:r w:rsidRPr="00A86A93">
        <w:rPr>
          <w:rFonts w:ascii="Arial" w:hAnsi="Arial" w:cs="Arial"/>
          <w:i/>
          <w:sz w:val="28"/>
          <w:szCs w:val="28"/>
        </w:rPr>
        <w:t xml:space="preserve"> </w:t>
      </w:r>
      <w:r w:rsidRPr="00A86A93">
        <w:rPr>
          <w:rFonts w:ascii="Arial" w:hAnsi="Arial" w:cs="Arial"/>
          <w:i/>
          <w:sz w:val="28"/>
          <w:szCs w:val="28"/>
          <w:lang w:val="en-US"/>
        </w:rPr>
        <w:t>P</w:t>
      </w:r>
      <w:r w:rsidRPr="00A86A93">
        <w:rPr>
          <w:rFonts w:ascii="Arial" w:hAnsi="Arial" w:cs="Arial"/>
          <w:i/>
          <w:sz w:val="28"/>
          <w:szCs w:val="28"/>
        </w:rPr>
        <w:t>={</w:t>
      </w:r>
      <w:r w:rsidRPr="00A86A93">
        <w:rPr>
          <w:rFonts w:ascii="Arial" w:hAnsi="Arial" w:cs="Arial"/>
          <w:i/>
          <w:sz w:val="28"/>
          <w:szCs w:val="28"/>
          <w:lang w:val="en-US"/>
        </w:rPr>
        <w:t>p</w:t>
      </w:r>
      <w:r w:rsidRPr="00A86A93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r w:rsidRPr="00A86A93">
        <w:rPr>
          <w:rFonts w:ascii="Arial" w:hAnsi="Arial" w:cs="Arial"/>
          <w:i/>
          <w:sz w:val="28"/>
          <w:szCs w:val="28"/>
        </w:rPr>
        <w:t xml:space="preserve">, </w:t>
      </w:r>
      <w:r w:rsidRPr="00A86A93">
        <w:rPr>
          <w:rFonts w:ascii="Arial" w:hAnsi="Arial" w:cs="Arial"/>
          <w:i/>
          <w:sz w:val="28"/>
          <w:szCs w:val="28"/>
          <w:lang w:val="en-US"/>
        </w:rPr>
        <w:t>i</w:t>
      </w:r>
      <w:r w:rsidRPr="00A86A93">
        <w:rPr>
          <w:rFonts w:ascii="Arial" w:hAnsi="Arial" w:cs="Arial"/>
          <w:i/>
          <w:sz w:val="28"/>
          <w:szCs w:val="28"/>
        </w:rPr>
        <w:t>=</w:t>
      </w:r>
      <m:oMath>
        <m:acc>
          <m:accPr>
            <m:chr m:val="⃗"/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Arial" w:cs="Arial"/>
                <w:sz w:val="28"/>
                <w:szCs w:val="28"/>
              </w:rPr>
              <m:t>1,</m:t>
            </m:r>
            <m:r>
              <w:rPr>
                <w:rFonts w:ascii="Cambria Math" w:hAnsi="Cambria Math" w:cs="Arial"/>
                <w:sz w:val="28"/>
                <w:szCs w:val="28"/>
              </w:rPr>
              <m:t>n</m:t>
            </m:r>
          </m:e>
        </m:acc>
      </m:oMath>
      <w:r w:rsidRPr="00A86A93">
        <w:rPr>
          <w:rFonts w:ascii="Arial" w:hAnsi="Arial" w:cs="Arial"/>
          <w:i/>
          <w:sz w:val="28"/>
          <w:szCs w:val="28"/>
        </w:rPr>
        <w:t>}</w:t>
      </w:r>
      <w:r w:rsidRPr="00A86A93">
        <w:rPr>
          <w:rFonts w:ascii="Arial" w:hAnsi="Arial" w:cs="Arial"/>
          <w:sz w:val="28"/>
          <w:szCs w:val="28"/>
        </w:rPr>
        <w:t xml:space="preserve">, где </w:t>
      </w:r>
      <w:r w:rsidRPr="00A86A93">
        <w:rPr>
          <w:rFonts w:ascii="Arial" w:hAnsi="Arial" w:cs="Arial"/>
          <w:i/>
          <w:sz w:val="28"/>
          <w:szCs w:val="28"/>
          <w:lang w:val="en-US"/>
        </w:rPr>
        <w:t>x</w:t>
      </w:r>
      <w:r w:rsidRPr="00A86A93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r w:rsidRPr="00A86A93">
        <w:rPr>
          <w:rFonts w:ascii="Arial" w:hAnsi="Arial" w:cs="Arial"/>
          <w:i/>
          <w:sz w:val="28"/>
          <w:szCs w:val="28"/>
          <w:vertAlign w:val="subscript"/>
        </w:rPr>
        <w:t xml:space="preserve"> </w:t>
      </w:r>
      <w:r w:rsidRPr="00A86A93">
        <w:rPr>
          <w:rFonts w:ascii="Arial" w:hAnsi="Arial" w:cs="Arial"/>
          <w:sz w:val="28"/>
          <w:szCs w:val="28"/>
        </w:rPr>
        <w:t xml:space="preserve">– </w:t>
      </w:r>
      <w:r w:rsidRPr="00A86A93">
        <w:rPr>
          <w:rFonts w:ascii="Arial" w:hAnsi="Arial" w:cs="Arial"/>
          <w:i/>
          <w:sz w:val="28"/>
          <w:szCs w:val="28"/>
          <w:lang w:val="en-US"/>
        </w:rPr>
        <w:t>i</w:t>
      </w:r>
      <w:r w:rsidRPr="00A86A93">
        <w:rPr>
          <w:rFonts w:ascii="Arial" w:hAnsi="Arial" w:cs="Arial"/>
          <w:sz w:val="28"/>
          <w:szCs w:val="28"/>
        </w:rPr>
        <w:t>-е значение случайной величины</w:t>
      </w:r>
      <w:r>
        <w:rPr>
          <w:rFonts w:ascii="Arial" w:hAnsi="Arial" w:cs="Arial"/>
          <w:sz w:val="28"/>
          <w:szCs w:val="28"/>
        </w:rPr>
        <w:t>,</w:t>
      </w:r>
      <w:r w:rsidRPr="00A86A93">
        <w:rPr>
          <w:rFonts w:ascii="Arial" w:hAnsi="Arial" w:cs="Arial"/>
          <w:sz w:val="28"/>
          <w:szCs w:val="28"/>
        </w:rPr>
        <w:t xml:space="preserve"> которое она принимает с вероятностью </w:t>
      </w:r>
      <w:r w:rsidRPr="00A86A93">
        <w:rPr>
          <w:rFonts w:ascii="Arial" w:hAnsi="Arial" w:cs="Arial"/>
          <w:i/>
          <w:sz w:val="28"/>
          <w:szCs w:val="28"/>
          <w:lang w:val="en-US"/>
        </w:rPr>
        <w:t>p</w:t>
      </w:r>
      <w:r w:rsidRPr="00A86A93">
        <w:rPr>
          <w:rFonts w:ascii="Arial" w:hAnsi="Arial" w:cs="Arial"/>
          <w:i/>
          <w:sz w:val="28"/>
          <w:szCs w:val="28"/>
          <w:vertAlign w:val="subscript"/>
          <w:lang w:val="en-US"/>
        </w:rPr>
        <w:t>i</w:t>
      </w:r>
      <w:r w:rsidRPr="00A86A93">
        <w:rPr>
          <w:rFonts w:ascii="Arial" w:hAnsi="Arial" w:cs="Arial"/>
          <w:sz w:val="28"/>
          <w:szCs w:val="28"/>
        </w:rPr>
        <w:t>.</w:t>
      </w: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86A93">
        <w:rPr>
          <w:rFonts w:ascii="Arial" w:hAnsi="Arial" w:cs="Arial"/>
          <w:sz w:val="28"/>
          <w:szCs w:val="28"/>
        </w:rPr>
        <w:t>Основными характеристиками распределения случайной величины</w:t>
      </w:r>
      <w:r>
        <w:rPr>
          <w:rFonts w:ascii="Arial" w:hAnsi="Arial" w:cs="Arial"/>
          <w:sz w:val="28"/>
          <w:szCs w:val="28"/>
        </w:rPr>
        <w:t>, как известно,</w:t>
      </w:r>
      <w:r w:rsidRPr="00A86A93">
        <w:rPr>
          <w:rFonts w:ascii="Arial" w:hAnsi="Arial" w:cs="Arial"/>
          <w:sz w:val="28"/>
          <w:szCs w:val="28"/>
        </w:rPr>
        <w:t xml:space="preserve"> являются:  </w:t>
      </w:r>
    </w:p>
    <w:p w:rsidR="00490094" w:rsidRPr="00121D13" w:rsidRDefault="00490094" w:rsidP="00490094">
      <w:pPr>
        <w:pStyle w:val="a3"/>
        <w:numPr>
          <w:ilvl w:val="0"/>
          <w:numId w:val="2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математическое ожидание;</w:t>
      </w:r>
    </w:p>
    <w:p w:rsidR="00490094" w:rsidRPr="00121D13" w:rsidRDefault="00490094" w:rsidP="00490094">
      <w:pPr>
        <w:pStyle w:val="a3"/>
        <w:numPr>
          <w:ilvl w:val="0"/>
          <w:numId w:val="2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дисперсия;</w:t>
      </w:r>
    </w:p>
    <w:p w:rsidR="00490094" w:rsidRPr="00121D13" w:rsidRDefault="00490094" w:rsidP="00490094">
      <w:pPr>
        <w:pStyle w:val="a3"/>
        <w:numPr>
          <w:ilvl w:val="0"/>
          <w:numId w:val="2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 w:rsidRPr="00121D13"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</w:rPr>
        <w:t>реднеквадратическое отклонение;</w:t>
      </w:r>
    </w:p>
    <w:p w:rsidR="00490094" w:rsidRPr="00121D13" w:rsidRDefault="00490094" w:rsidP="00490094">
      <w:pPr>
        <w:pStyle w:val="a3"/>
        <w:numPr>
          <w:ilvl w:val="0"/>
          <w:numId w:val="2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 w:rsidRPr="00121D13">
        <w:rPr>
          <w:rFonts w:ascii="Arial" w:hAnsi="Arial" w:cs="Arial"/>
          <w:sz w:val="28"/>
          <w:szCs w:val="28"/>
        </w:rPr>
        <w:t>коэффициент вариации</w:t>
      </w:r>
      <w:r>
        <w:rPr>
          <w:rFonts w:ascii="Arial" w:hAnsi="Arial" w:cs="Arial"/>
          <w:sz w:val="28"/>
          <w:szCs w:val="28"/>
          <w:lang w:val="en-US"/>
        </w:rPr>
        <w:t xml:space="preserve"> [2]</w:t>
      </w:r>
      <w:r w:rsidRPr="00121D13">
        <w:rPr>
          <w:rFonts w:ascii="Arial" w:hAnsi="Arial" w:cs="Arial"/>
          <w:sz w:val="28"/>
          <w:szCs w:val="28"/>
        </w:rPr>
        <w:t>.</w:t>
      </w:r>
    </w:p>
    <w:p w:rsidR="00490094" w:rsidRPr="00A86A93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86A93">
        <w:rPr>
          <w:rFonts w:ascii="Arial" w:hAnsi="Arial" w:cs="Arial"/>
          <w:sz w:val="28"/>
          <w:szCs w:val="28"/>
        </w:rPr>
        <w:t>Эти показатели могут рассматриваться как меры риска.</w:t>
      </w:r>
    </w:p>
    <w:p w:rsidR="00490094" w:rsidRPr="00A86A93" w:rsidRDefault="00490094" w:rsidP="00490094">
      <w:pPr>
        <w:spacing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E31B00">
        <w:rPr>
          <w:rFonts w:ascii="Times New Roman" w:hAnsi="Times New Roman" w:cs="Times New Roman"/>
          <w:sz w:val="28"/>
          <w:szCs w:val="28"/>
          <w:u w:val="single"/>
        </w:rPr>
        <w:t>Математическое ожидание</w:t>
      </w:r>
      <w:r w:rsidRPr="00A86A93">
        <w:rPr>
          <w:rFonts w:ascii="Arial" w:hAnsi="Arial" w:cs="Arial"/>
          <w:sz w:val="28"/>
          <w:szCs w:val="28"/>
        </w:rPr>
        <w:t xml:space="preserve"> дискретной случайной величины (</w:t>
      </w:r>
      <w:r w:rsidRPr="00A86A93">
        <w:rPr>
          <w:rFonts w:ascii="Arial" w:hAnsi="Arial" w:cs="Arial"/>
          <w:sz w:val="28"/>
          <w:szCs w:val="28"/>
          <w:lang w:val="en-US"/>
        </w:rPr>
        <w:t>mathematical</w:t>
      </w:r>
      <w:r w:rsidRPr="00A86A93">
        <w:rPr>
          <w:rFonts w:ascii="Arial" w:hAnsi="Arial" w:cs="Arial"/>
          <w:sz w:val="28"/>
          <w:szCs w:val="28"/>
        </w:rPr>
        <w:t xml:space="preserve"> </w:t>
      </w:r>
      <w:r w:rsidRPr="00A86A93">
        <w:rPr>
          <w:rFonts w:ascii="Arial" w:hAnsi="Arial" w:cs="Arial"/>
          <w:sz w:val="28"/>
          <w:szCs w:val="28"/>
          <w:lang w:val="en-US"/>
        </w:rPr>
        <w:t>expectation</w:t>
      </w:r>
      <w:r w:rsidRPr="00A86A93">
        <w:rPr>
          <w:rFonts w:ascii="Arial" w:hAnsi="Arial" w:cs="Arial"/>
          <w:sz w:val="28"/>
          <w:szCs w:val="28"/>
        </w:rPr>
        <w:t>) – мера положения центра распределения случайной величины</w:t>
      </w:r>
      <w:r>
        <w:rPr>
          <w:rFonts w:ascii="Arial" w:hAnsi="Arial" w:cs="Arial"/>
          <w:sz w:val="28"/>
          <w:szCs w:val="28"/>
        </w:rPr>
        <w:t xml:space="preserve"> определяется по формуле</w:t>
      </w:r>
      <w:r w:rsidRPr="00A86A93">
        <w:rPr>
          <w:rFonts w:ascii="Arial" w:hAnsi="Arial" w:cs="Arial"/>
          <w:sz w:val="28"/>
          <w:szCs w:val="28"/>
        </w:rPr>
        <w:t>:</w:t>
      </w:r>
    </w:p>
    <w:p w:rsidR="00490094" w:rsidRPr="00A86A93" w:rsidRDefault="00490094" w:rsidP="00490094">
      <w:pPr>
        <w:spacing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E31B00">
        <w:rPr>
          <w:rFonts w:ascii="Arial" w:hAnsi="Arial" w:cs="Arial"/>
          <w:position w:val="-28"/>
          <w:sz w:val="28"/>
          <w:szCs w:val="28"/>
        </w:rPr>
        <w:object w:dxaOrig="23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pt;height:34.5pt" o:ole="">
            <v:imagedata r:id="rId5" o:title=""/>
          </v:shape>
          <o:OLEObject Type="Embed" ProgID="Equation.3" ShapeID="_x0000_i1025" DrawAspect="Content" ObjectID="_1410019568" r:id="rId6"/>
        </w:object>
      </w:r>
    </w:p>
    <w:p w:rsidR="00490094" w:rsidRPr="00A86A93" w:rsidRDefault="00490094" w:rsidP="00490094">
      <w:pPr>
        <w:spacing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C37B2">
        <w:rPr>
          <w:rFonts w:ascii="Times New Roman" w:hAnsi="Times New Roman" w:cs="Times New Roman"/>
          <w:sz w:val="28"/>
          <w:szCs w:val="28"/>
          <w:u w:val="single"/>
        </w:rPr>
        <w:t>Дисперсия</w:t>
      </w:r>
      <w:r w:rsidRPr="00A86A93">
        <w:rPr>
          <w:rFonts w:ascii="Arial" w:hAnsi="Arial" w:cs="Arial"/>
          <w:sz w:val="28"/>
          <w:szCs w:val="28"/>
        </w:rPr>
        <w:t xml:space="preserve"> дискретной случайной величины (</w:t>
      </w:r>
      <w:r w:rsidRPr="00A86A93">
        <w:rPr>
          <w:rFonts w:ascii="Arial" w:hAnsi="Arial" w:cs="Arial"/>
          <w:sz w:val="28"/>
          <w:szCs w:val="28"/>
          <w:lang w:val="en-US"/>
        </w:rPr>
        <w:t>variance</w:t>
      </w:r>
      <w:r w:rsidRPr="00A86A93">
        <w:rPr>
          <w:rFonts w:ascii="Arial" w:hAnsi="Arial" w:cs="Arial"/>
          <w:sz w:val="28"/>
          <w:szCs w:val="28"/>
        </w:rPr>
        <w:t>) – математическое ожидание квадрата отклонения случайной величины от е</w:t>
      </w:r>
      <w:r>
        <w:rPr>
          <w:rFonts w:ascii="Arial" w:hAnsi="Arial" w:cs="Arial"/>
          <w:sz w:val="28"/>
          <w:szCs w:val="28"/>
        </w:rPr>
        <w:t>е</w:t>
      </w:r>
      <w:r w:rsidRPr="00A86A93">
        <w:rPr>
          <w:rFonts w:ascii="Arial" w:hAnsi="Arial" w:cs="Arial"/>
          <w:sz w:val="28"/>
          <w:szCs w:val="28"/>
        </w:rPr>
        <w:t xml:space="preserve"> математического ожидания:</w:t>
      </w:r>
    </w:p>
    <w:p w:rsidR="00490094" w:rsidRPr="00A86A93" w:rsidRDefault="00490094" w:rsidP="00490094">
      <w:pPr>
        <w:spacing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CD2C4D">
        <w:rPr>
          <w:rFonts w:ascii="Arial" w:hAnsi="Arial" w:cs="Arial"/>
          <w:position w:val="-28"/>
          <w:sz w:val="28"/>
          <w:szCs w:val="28"/>
        </w:rPr>
        <w:object w:dxaOrig="4940" w:dyaOrig="680">
          <v:shape id="_x0000_i1026" type="#_x0000_t75" style="width:247pt;height:34.5pt" o:ole="">
            <v:imagedata r:id="rId7" o:title=""/>
          </v:shape>
          <o:OLEObject Type="Embed" ProgID="Equation.3" ShapeID="_x0000_i1026" DrawAspect="Content" ObjectID="_1410019569" r:id="rId8"/>
        </w:object>
      </w:r>
    </w:p>
    <w:p w:rsidR="00490094" w:rsidRPr="00A86A93" w:rsidRDefault="00490094" w:rsidP="00490094">
      <w:pPr>
        <w:spacing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A86A93">
        <w:rPr>
          <w:rFonts w:ascii="Arial" w:hAnsi="Arial" w:cs="Arial"/>
          <w:sz w:val="28"/>
          <w:szCs w:val="28"/>
        </w:rPr>
        <w:t xml:space="preserve">Из-за особенности размерности дисперсии на практике чаще используется показатель </w:t>
      </w:r>
      <w:r w:rsidRPr="008C37B2">
        <w:rPr>
          <w:rFonts w:ascii="Times New Roman" w:hAnsi="Times New Roman" w:cs="Times New Roman"/>
          <w:sz w:val="28"/>
          <w:szCs w:val="28"/>
          <w:u w:val="single"/>
        </w:rPr>
        <w:t>средне квадратическое отклонение</w:t>
      </w:r>
      <w:r w:rsidRPr="00A86A9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r w:rsidRPr="00A86A93">
        <w:rPr>
          <w:rFonts w:ascii="Arial" w:hAnsi="Arial" w:cs="Arial"/>
          <w:sz w:val="28"/>
          <w:szCs w:val="28"/>
          <w:lang w:val="en-US"/>
        </w:rPr>
        <w:t>standard</w:t>
      </w:r>
      <w:r w:rsidRPr="00A86A93">
        <w:rPr>
          <w:rFonts w:ascii="Arial" w:hAnsi="Arial" w:cs="Arial"/>
          <w:sz w:val="28"/>
          <w:szCs w:val="28"/>
        </w:rPr>
        <w:t xml:space="preserve"> </w:t>
      </w:r>
      <w:r w:rsidRPr="00A86A93">
        <w:rPr>
          <w:rFonts w:ascii="Arial" w:hAnsi="Arial" w:cs="Arial"/>
          <w:sz w:val="28"/>
          <w:szCs w:val="28"/>
          <w:lang w:val="en-US"/>
        </w:rPr>
        <w:t>deviation</w:t>
      </w:r>
      <w:r>
        <w:rPr>
          <w:rFonts w:ascii="Arial" w:hAnsi="Arial" w:cs="Arial"/>
          <w:sz w:val="28"/>
          <w:szCs w:val="28"/>
        </w:rPr>
        <w:t>, СКО</w:t>
      </w:r>
      <w:r w:rsidRPr="00A86A93">
        <w:rPr>
          <w:rFonts w:ascii="Arial" w:hAnsi="Arial" w:cs="Arial"/>
          <w:sz w:val="28"/>
          <w:szCs w:val="28"/>
        </w:rPr>
        <w:t>) –  квадратный корень из дисперсии:</w:t>
      </w:r>
    </w:p>
    <w:p w:rsidR="00490094" w:rsidRPr="00A86A93" w:rsidRDefault="00490094" w:rsidP="00490094">
      <w:pPr>
        <w:spacing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A86A93">
        <w:rPr>
          <w:rFonts w:ascii="Arial" w:hAnsi="Arial" w:cs="Arial"/>
          <w:sz w:val="28"/>
          <w:szCs w:val="28"/>
        </w:rPr>
        <w:object w:dxaOrig="1440" w:dyaOrig="400">
          <v:shape id="_x0000_i1027" type="#_x0000_t75" style="width:1in;height:20.5pt" o:ole="">
            <v:imagedata r:id="rId9" o:title=""/>
          </v:shape>
          <o:OLEObject Type="Embed" ProgID="Equation.3" ShapeID="_x0000_i1027" DrawAspect="Content" ObjectID="_1410019570" r:id="rId10"/>
        </w:object>
      </w:r>
      <w:r>
        <w:rPr>
          <w:rFonts w:ascii="Arial" w:hAnsi="Arial" w:cs="Arial"/>
          <w:sz w:val="28"/>
          <w:szCs w:val="28"/>
        </w:rPr>
        <w:t>.</w:t>
      </w:r>
    </w:p>
    <w:p w:rsidR="00490094" w:rsidRPr="00A86A93" w:rsidRDefault="00490094" w:rsidP="00490094">
      <w:pPr>
        <w:spacing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9A191F">
        <w:rPr>
          <w:rFonts w:ascii="Times New Roman" w:hAnsi="Times New Roman" w:cs="Times New Roman"/>
          <w:sz w:val="28"/>
          <w:szCs w:val="28"/>
          <w:u w:val="single"/>
        </w:rPr>
        <w:t>Коэффициент вариации</w:t>
      </w:r>
      <w:r w:rsidRPr="00A86A93">
        <w:rPr>
          <w:rFonts w:ascii="Arial" w:hAnsi="Arial" w:cs="Arial"/>
          <w:sz w:val="28"/>
          <w:szCs w:val="28"/>
        </w:rPr>
        <w:t xml:space="preserve"> – отношение средне квадратического отклонения к математическому ожиданию</w:t>
      </w:r>
      <w:r>
        <w:rPr>
          <w:rFonts w:ascii="Arial" w:hAnsi="Arial" w:cs="Arial"/>
          <w:sz w:val="28"/>
          <w:szCs w:val="28"/>
        </w:rPr>
        <w:t xml:space="preserve"> </w:t>
      </w:r>
      <w:r w:rsidRPr="00A86A93">
        <w:rPr>
          <w:rFonts w:ascii="Arial" w:hAnsi="Arial" w:cs="Arial"/>
          <w:sz w:val="28"/>
          <w:szCs w:val="28"/>
        </w:rPr>
        <w:t>(</w:t>
      </w:r>
      <w:r w:rsidRPr="00A86A93">
        <w:rPr>
          <w:rFonts w:ascii="Arial" w:hAnsi="Arial" w:cs="Arial"/>
          <w:sz w:val="28"/>
          <w:szCs w:val="28"/>
          <w:lang w:val="en-US"/>
        </w:rPr>
        <w:t>coefficient of variation</w:t>
      </w:r>
      <w:r w:rsidRPr="00A86A93">
        <w:rPr>
          <w:rFonts w:ascii="Arial" w:hAnsi="Arial" w:cs="Arial"/>
          <w:sz w:val="28"/>
          <w:szCs w:val="28"/>
        </w:rPr>
        <w:t>):</w:t>
      </w:r>
    </w:p>
    <w:p w:rsidR="00490094" w:rsidRPr="00A86A93" w:rsidRDefault="00490094" w:rsidP="00490094">
      <w:pPr>
        <w:spacing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9A191F">
        <w:rPr>
          <w:rFonts w:ascii="Arial" w:hAnsi="Arial" w:cs="Arial"/>
          <w:position w:val="-28"/>
          <w:sz w:val="28"/>
          <w:szCs w:val="28"/>
        </w:rPr>
        <w:object w:dxaOrig="1520" w:dyaOrig="660">
          <v:shape id="_x0000_i1028" type="#_x0000_t75" style="width:76.5pt;height:33.5pt" o:ole="">
            <v:imagedata r:id="rId11" o:title=""/>
          </v:shape>
          <o:OLEObject Type="Embed" ProgID="Equation.3" ShapeID="_x0000_i1028" DrawAspect="Content" ObjectID="_1410019571" r:id="rId12"/>
        </w:object>
      </w:r>
    </w:p>
    <w:p w:rsidR="00490094" w:rsidRPr="00A86A93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П</w:t>
      </w:r>
      <w:r w:rsidRPr="00A86A93">
        <w:rPr>
          <w:rFonts w:ascii="Arial" w:hAnsi="Arial" w:cs="Arial"/>
          <w:sz w:val="28"/>
          <w:szCs w:val="28"/>
        </w:rPr>
        <w:t xml:space="preserve">ри посылках о рациональности поведения </w:t>
      </w:r>
      <w:r>
        <w:rPr>
          <w:rFonts w:ascii="Arial" w:hAnsi="Arial" w:cs="Arial"/>
          <w:sz w:val="28"/>
          <w:szCs w:val="28"/>
        </w:rPr>
        <w:t>субъекта</w:t>
      </w:r>
      <w:r w:rsidRPr="00A86A93">
        <w:rPr>
          <w:rFonts w:ascii="Arial" w:hAnsi="Arial" w:cs="Arial"/>
          <w:sz w:val="28"/>
          <w:szCs w:val="28"/>
        </w:rPr>
        <w:t xml:space="preserve"> и нормальности распределения случайной величины, предпочтительным является та альтернатива, которая, при прочих равных, характеризуется:</w:t>
      </w:r>
    </w:p>
    <w:p w:rsidR="00490094" w:rsidRPr="00517F4D" w:rsidRDefault="00490094" w:rsidP="00517F4D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517F4D">
        <w:rPr>
          <w:rFonts w:ascii="Arial" w:hAnsi="Arial" w:cs="Arial"/>
          <w:sz w:val="28"/>
          <w:szCs w:val="28"/>
        </w:rPr>
        <w:t>большим/меньшим (в зависимости от физической природы случайной величины) математическим ожиданием;</w:t>
      </w:r>
    </w:p>
    <w:p w:rsidR="00490094" w:rsidRPr="00517F4D" w:rsidRDefault="00490094" w:rsidP="00517F4D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517F4D">
        <w:rPr>
          <w:rFonts w:ascii="Arial" w:hAnsi="Arial" w:cs="Arial"/>
          <w:sz w:val="28"/>
          <w:szCs w:val="28"/>
        </w:rPr>
        <w:t>меньшей дисперсией (соответственно</w:t>
      </w:r>
      <w:r w:rsidR="00517F4D">
        <w:rPr>
          <w:rFonts w:ascii="Arial" w:hAnsi="Arial" w:cs="Arial"/>
          <w:sz w:val="28"/>
          <w:szCs w:val="28"/>
        </w:rPr>
        <w:t>,</w:t>
      </w:r>
      <w:r w:rsidRPr="00517F4D">
        <w:rPr>
          <w:rFonts w:ascii="Arial" w:hAnsi="Arial" w:cs="Arial"/>
          <w:sz w:val="28"/>
          <w:szCs w:val="28"/>
        </w:rPr>
        <w:t xml:space="preserve"> и СКО);</w:t>
      </w:r>
    </w:p>
    <w:p w:rsidR="00490094" w:rsidRPr="00517F4D" w:rsidRDefault="00490094" w:rsidP="00517F4D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517F4D">
        <w:rPr>
          <w:rFonts w:ascii="Arial" w:hAnsi="Arial" w:cs="Arial"/>
          <w:sz w:val="28"/>
          <w:szCs w:val="28"/>
        </w:rPr>
        <w:t>меньшим коэффициентом вариации.</w:t>
      </w:r>
    </w:p>
    <w:p w:rsidR="00490094" w:rsidRPr="008031BC" w:rsidRDefault="00490094" w:rsidP="00490094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Важно заметить, что д</w:t>
      </w:r>
      <w:r w:rsidRPr="008031BC">
        <w:rPr>
          <w:rFonts w:ascii="Arial" w:hAnsi="Arial" w:cs="Arial"/>
          <w:sz w:val="28"/>
          <w:szCs w:val="28"/>
        </w:rPr>
        <w:t xml:space="preserve">анные </w:t>
      </w:r>
      <w:r>
        <w:rPr>
          <w:rFonts w:ascii="Arial" w:hAnsi="Arial" w:cs="Arial"/>
          <w:sz w:val="28"/>
          <w:szCs w:val="28"/>
        </w:rPr>
        <w:t>показатели</w:t>
      </w:r>
      <w:r w:rsidRPr="008031BC">
        <w:rPr>
          <w:rFonts w:ascii="Arial" w:hAnsi="Arial" w:cs="Arial"/>
          <w:sz w:val="28"/>
          <w:szCs w:val="28"/>
        </w:rPr>
        <w:t xml:space="preserve"> являются хорошими мерами риска только в случае нормального распределения случайной величины, ассоциируемой с риском</w:t>
      </w:r>
      <w:r>
        <w:rPr>
          <w:rFonts w:ascii="Arial" w:hAnsi="Arial" w:cs="Arial"/>
          <w:sz w:val="28"/>
          <w:szCs w:val="28"/>
        </w:rPr>
        <w:t xml:space="preserve"> (</w:t>
      </w:r>
      <w:proofErr w:type="gramStart"/>
      <w:r>
        <w:rPr>
          <w:rFonts w:ascii="Arial" w:hAnsi="Arial" w:cs="Arial"/>
          <w:sz w:val="28"/>
          <w:szCs w:val="28"/>
        </w:rPr>
        <w:t>изученному</w:t>
      </w:r>
      <w:proofErr w:type="gramEnd"/>
      <w:r>
        <w:rPr>
          <w:rFonts w:ascii="Arial" w:hAnsi="Arial" w:cs="Arial"/>
          <w:sz w:val="28"/>
          <w:szCs w:val="28"/>
        </w:rPr>
        <w:t xml:space="preserve"> Вами ранее в курсе математической статистики)</w:t>
      </w:r>
      <w:r w:rsidRPr="008031BC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8548F0">
        <w:rPr>
          <w:rFonts w:ascii="Arial" w:hAnsi="Arial" w:cs="Arial"/>
          <w:sz w:val="28"/>
          <w:szCs w:val="28"/>
        </w:rPr>
        <w:t>Однако не все финансовые операции предполагают нормальное распределение</w:t>
      </w:r>
      <w:r>
        <w:rPr>
          <w:rFonts w:ascii="Arial" w:hAnsi="Arial" w:cs="Arial"/>
          <w:sz w:val="28"/>
          <w:szCs w:val="28"/>
        </w:rPr>
        <w:t xml:space="preserve"> их параметров</w:t>
      </w:r>
      <w:r w:rsidRPr="008548F0">
        <w:rPr>
          <w:rFonts w:ascii="Arial" w:hAnsi="Arial" w:cs="Arial"/>
          <w:sz w:val="28"/>
          <w:szCs w:val="28"/>
        </w:rPr>
        <w:t>.</w:t>
      </w:r>
      <w:r w:rsidRPr="008031B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В случае асимметричного распределения случайной величины требуется расчет дополнительных показателей.</w:t>
      </w: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90094" w:rsidRPr="004C2167" w:rsidRDefault="00490094" w:rsidP="004900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2167">
        <w:rPr>
          <w:rFonts w:ascii="Times New Roman" w:hAnsi="Times New Roman" w:cs="Times New Roman"/>
          <w:sz w:val="28"/>
          <w:szCs w:val="28"/>
          <w:u w:val="single"/>
        </w:rPr>
        <w:t>Рассмотрим пример.</w:t>
      </w:r>
    </w:p>
    <w:p w:rsidR="00490094" w:rsidRPr="00332E79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90094" w:rsidRDefault="00490094" w:rsidP="00490094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332E79">
        <w:rPr>
          <w:rFonts w:ascii="Arial" w:hAnsi="Arial" w:cs="Arial"/>
          <w:sz w:val="28"/>
          <w:szCs w:val="28"/>
        </w:rPr>
        <w:t>Компания решает заключить договор на поставку продуктов питания одной из двух баз. Собрав данные о сроках опл</w:t>
      </w:r>
      <w:r>
        <w:rPr>
          <w:rFonts w:ascii="Arial" w:hAnsi="Arial" w:cs="Arial"/>
          <w:sz w:val="28"/>
          <w:szCs w:val="28"/>
        </w:rPr>
        <w:t xml:space="preserve">аты товара этими базами, нужно </w:t>
      </w:r>
      <w:r w:rsidRPr="00332E79">
        <w:rPr>
          <w:rFonts w:ascii="Arial" w:hAnsi="Arial" w:cs="Arial"/>
          <w:sz w:val="28"/>
          <w:szCs w:val="28"/>
        </w:rPr>
        <w:t>выбрать базу</w:t>
      </w:r>
      <w:r>
        <w:rPr>
          <w:rFonts w:ascii="Arial" w:hAnsi="Arial" w:cs="Arial"/>
          <w:sz w:val="28"/>
          <w:szCs w:val="28"/>
        </w:rPr>
        <w:t xml:space="preserve"> поставки с учетом степени риска.</w:t>
      </w:r>
    </w:p>
    <w:p w:rsidR="00490094" w:rsidRPr="00332E79" w:rsidRDefault="00490094" w:rsidP="00490094">
      <w:pPr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База</w:t>
      </w:r>
      <w:proofErr w:type="gramStart"/>
      <w:r>
        <w:rPr>
          <w:rFonts w:ascii="Arial" w:hAnsi="Arial" w:cs="Arial"/>
          <w:sz w:val="28"/>
          <w:szCs w:val="28"/>
        </w:rPr>
        <w:t xml:space="preserve"> А</w:t>
      </w:r>
      <w:proofErr w:type="gramEnd"/>
    </w:p>
    <w:tbl>
      <w:tblPr>
        <w:tblW w:w="6197" w:type="dxa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0"/>
        <w:gridCol w:w="2977"/>
      </w:tblGrid>
      <w:tr w:rsidR="00490094" w:rsidRPr="002709C1" w:rsidTr="00FC446A">
        <w:trPr>
          <w:trHeight w:val="300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Сроки оплаты, дней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Вероятность</w:t>
            </w:r>
          </w:p>
        </w:tc>
      </w:tr>
      <w:tr w:rsidR="00490094" w:rsidRPr="002709C1" w:rsidTr="00FC446A">
        <w:trPr>
          <w:trHeight w:val="300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0,2</w:t>
            </w:r>
          </w:p>
        </w:tc>
      </w:tr>
      <w:tr w:rsidR="00490094" w:rsidRPr="002709C1" w:rsidTr="00FC446A">
        <w:trPr>
          <w:trHeight w:val="300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0,19</w:t>
            </w:r>
          </w:p>
        </w:tc>
      </w:tr>
      <w:tr w:rsidR="00490094" w:rsidRPr="002709C1" w:rsidTr="00FC446A">
        <w:trPr>
          <w:trHeight w:val="300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0,15</w:t>
            </w:r>
          </w:p>
        </w:tc>
      </w:tr>
      <w:tr w:rsidR="00490094" w:rsidRPr="002709C1" w:rsidTr="00FC446A">
        <w:trPr>
          <w:trHeight w:val="300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18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0,27</w:t>
            </w:r>
          </w:p>
        </w:tc>
      </w:tr>
      <w:tr w:rsidR="00490094" w:rsidRPr="002709C1" w:rsidTr="00FC446A">
        <w:trPr>
          <w:trHeight w:val="300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20</w:t>
            </w:r>
          </w:p>
        </w:tc>
        <w:tc>
          <w:tcPr>
            <w:tcW w:w="2977" w:type="dxa"/>
            <w:shd w:val="clear" w:color="auto" w:fill="auto"/>
            <w:noWrap/>
            <w:vAlign w:val="bottom"/>
            <w:hideMark/>
          </w:tcPr>
          <w:p w:rsidR="00490094" w:rsidRPr="00431BCF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431BCF">
              <w:rPr>
                <w:rFonts w:ascii="Arial" w:hAnsi="Arial" w:cs="Arial"/>
                <w:sz w:val="28"/>
                <w:szCs w:val="28"/>
              </w:rPr>
              <w:t>0,19</w:t>
            </w:r>
          </w:p>
        </w:tc>
      </w:tr>
    </w:tbl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База</w:t>
      </w:r>
      <w:proofErr w:type="gramStart"/>
      <w:r>
        <w:rPr>
          <w:rFonts w:ascii="Arial" w:hAnsi="Arial" w:cs="Arial"/>
          <w:sz w:val="28"/>
          <w:szCs w:val="28"/>
        </w:rPr>
        <w:t xml:space="preserve"> Б</w:t>
      </w:r>
      <w:proofErr w:type="gramEnd"/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tbl>
      <w:tblPr>
        <w:tblW w:w="6237" w:type="dxa"/>
        <w:tblInd w:w="959" w:type="dxa"/>
        <w:tblLook w:val="04A0"/>
      </w:tblPr>
      <w:tblGrid>
        <w:gridCol w:w="3260"/>
        <w:gridCol w:w="2977"/>
      </w:tblGrid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Сроки оплаты, дней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Вероятность</w:t>
            </w:r>
          </w:p>
        </w:tc>
      </w:tr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0,14</w:t>
            </w:r>
          </w:p>
        </w:tc>
      </w:tr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0,12</w:t>
            </w:r>
          </w:p>
        </w:tc>
      </w:tr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0,16</w:t>
            </w:r>
          </w:p>
        </w:tc>
      </w:tr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0,26</w:t>
            </w:r>
          </w:p>
        </w:tc>
      </w:tr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0,16</w:t>
            </w:r>
          </w:p>
        </w:tc>
      </w:tr>
      <w:tr w:rsidR="00490094" w:rsidRPr="002709C1" w:rsidTr="00FC446A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0094" w:rsidRPr="00230B3B" w:rsidRDefault="00490094" w:rsidP="006F4EAC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230B3B">
              <w:rPr>
                <w:rFonts w:ascii="Arial" w:hAnsi="Arial" w:cs="Arial"/>
                <w:sz w:val="28"/>
                <w:szCs w:val="28"/>
              </w:rPr>
              <w:t>0,16</w:t>
            </w:r>
          </w:p>
        </w:tc>
      </w:tr>
    </w:tbl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Замечание: исходить из предположения, что сроки оплаты товара распределены по нормальному закону.</w:t>
      </w:r>
    </w:p>
    <w:p w:rsidR="00F72296" w:rsidRDefault="00F72296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Решение</w:t>
      </w: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данном случае случайной величиной является параметр «сроки оплаты товара».</w:t>
      </w: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Как изложено</w:t>
      </w:r>
      <w:r w:rsidRPr="00627A52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ранее, в качестве мер риска могут применяться различные измерители:</w:t>
      </w:r>
    </w:p>
    <w:p w:rsidR="00490094" w:rsidRDefault="00490094" w:rsidP="00490094">
      <w:pPr>
        <w:pStyle w:val="a3"/>
        <w:numPr>
          <w:ilvl w:val="0"/>
          <w:numId w:val="3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математическое ожидание </w:t>
      </w:r>
    </w:p>
    <w:p w:rsidR="00490094" w:rsidRDefault="00490094" w:rsidP="00490094">
      <w:pPr>
        <w:pStyle w:val="a3"/>
        <w:tabs>
          <w:tab w:val="left" w:pos="993"/>
        </w:tabs>
        <w:ind w:left="567"/>
        <w:rPr>
          <w:rFonts w:ascii="Arial" w:hAnsi="Arial" w:cs="Arial"/>
          <w:position w:val="-28"/>
          <w:sz w:val="28"/>
          <w:szCs w:val="28"/>
        </w:rPr>
      </w:pPr>
      <w:r w:rsidRPr="005F7A25">
        <w:rPr>
          <w:position w:val="-10"/>
        </w:rPr>
        <w:object w:dxaOrig="7100" w:dyaOrig="340">
          <v:shape id="_x0000_i1029" type="#_x0000_t75" style="width:353.5pt;height:17pt" o:ole="">
            <v:imagedata r:id="rId13" o:title=""/>
          </v:shape>
          <o:OLEObject Type="Embed" ProgID="Equation.3" ShapeID="_x0000_i1029" DrawAspect="Content" ObjectID="_1410019572" r:id="rId14"/>
        </w:object>
      </w:r>
    </w:p>
    <w:p w:rsidR="00490094" w:rsidRDefault="00490094" w:rsidP="00490094">
      <w:pPr>
        <w:pStyle w:val="a3"/>
        <w:tabs>
          <w:tab w:val="left" w:pos="993"/>
        </w:tabs>
        <w:ind w:left="567"/>
        <w:rPr>
          <w:rFonts w:ascii="Arial" w:hAnsi="Arial" w:cs="Arial"/>
          <w:position w:val="-28"/>
          <w:sz w:val="28"/>
          <w:szCs w:val="28"/>
        </w:rPr>
      </w:pPr>
      <w:r w:rsidRPr="005A41BB">
        <w:rPr>
          <w:position w:val="-10"/>
        </w:rPr>
        <w:object w:dxaOrig="1980" w:dyaOrig="340">
          <v:shape id="_x0000_i1030" type="#_x0000_t75" style="width:99pt;height:17pt" o:ole="">
            <v:imagedata r:id="rId15" o:title=""/>
          </v:shape>
          <o:OLEObject Type="Embed" ProgID="Equation.3" ShapeID="_x0000_i1030" DrawAspect="Content" ObjectID="_1410019573" r:id="rId16"/>
        </w:object>
      </w:r>
    </w:p>
    <w:p w:rsidR="00490094" w:rsidRPr="001B7E06" w:rsidRDefault="00490094" w:rsidP="00490094">
      <w:pPr>
        <w:pStyle w:val="a3"/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Таким образом, ожидаемый срок оплаты товара базой</w:t>
      </w:r>
      <w:proofErr w:type="gramStart"/>
      <w:r>
        <w:rPr>
          <w:rFonts w:ascii="Arial" w:hAnsi="Arial" w:cs="Arial"/>
          <w:sz w:val="28"/>
          <w:szCs w:val="28"/>
        </w:rPr>
        <w:t xml:space="preserve"> А</w:t>
      </w:r>
      <w:proofErr w:type="gramEnd"/>
      <w:r>
        <w:rPr>
          <w:rFonts w:ascii="Arial" w:hAnsi="Arial" w:cs="Arial"/>
          <w:sz w:val="28"/>
          <w:szCs w:val="28"/>
        </w:rPr>
        <w:t xml:space="preserve"> – 15,57 дней, базой Б – 14,62 дней. Это означает, что по данному критерию приоритет следует отдать базе Б.</w:t>
      </w:r>
    </w:p>
    <w:p w:rsidR="00490094" w:rsidRDefault="00490094" w:rsidP="00490094">
      <w:pPr>
        <w:pStyle w:val="a3"/>
        <w:numPr>
          <w:ilvl w:val="0"/>
          <w:numId w:val="3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стандартное отклонение  </w:t>
      </w:r>
    </w:p>
    <w:p w:rsidR="00490094" w:rsidRPr="00900C90" w:rsidRDefault="00490094" w:rsidP="00490094">
      <w:pPr>
        <w:pStyle w:val="a3"/>
        <w:ind w:left="0" w:firstLine="567"/>
        <w:rPr>
          <w:rFonts w:ascii="Arial" w:hAnsi="Arial" w:cs="Arial"/>
          <w:sz w:val="28"/>
          <w:szCs w:val="28"/>
        </w:rPr>
      </w:pPr>
      <w:r w:rsidRPr="00275571">
        <w:rPr>
          <w:position w:val="-12"/>
        </w:rPr>
        <w:object w:dxaOrig="6420" w:dyaOrig="440">
          <v:shape id="_x0000_i1031" type="#_x0000_t75" style="width:321.5pt;height:21.5pt" o:ole="">
            <v:imagedata r:id="rId17" o:title=""/>
          </v:shape>
          <o:OLEObject Type="Embed" ProgID="Equation.3" ShapeID="_x0000_i1031" DrawAspect="Content" ObjectID="_1410019574" r:id="rId18"/>
        </w:object>
      </w:r>
      <w:r w:rsidRPr="00900C90">
        <w:rPr>
          <w:rFonts w:ascii="Arial" w:hAnsi="Arial" w:cs="Arial"/>
          <w:sz w:val="28"/>
          <w:szCs w:val="28"/>
        </w:rPr>
        <w:t>.</w:t>
      </w:r>
    </w:p>
    <w:p w:rsidR="00490094" w:rsidRPr="00900C90" w:rsidRDefault="00490094" w:rsidP="00490094">
      <w:pPr>
        <w:pStyle w:val="a3"/>
        <w:ind w:left="0" w:firstLine="567"/>
        <w:rPr>
          <w:rFonts w:ascii="Arial" w:hAnsi="Arial" w:cs="Arial"/>
          <w:sz w:val="28"/>
          <w:szCs w:val="28"/>
        </w:rPr>
      </w:pPr>
      <w:r w:rsidRPr="00E84CDE">
        <w:rPr>
          <w:position w:val="-10"/>
        </w:rPr>
        <w:object w:dxaOrig="1820" w:dyaOrig="340">
          <v:shape id="_x0000_i1032" type="#_x0000_t75" style="width:91.5pt;height:17pt" o:ole="">
            <v:imagedata r:id="rId19" o:title=""/>
          </v:shape>
          <o:OLEObject Type="Embed" ProgID="Equation.3" ShapeID="_x0000_i1032" DrawAspect="Content" ObjectID="_1410019575" r:id="rId20"/>
        </w:object>
      </w:r>
      <w:r w:rsidRPr="00900C90">
        <w:rPr>
          <w:rFonts w:ascii="Arial" w:hAnsi="Arial" w:cs="Arial"/>
          <w:sz w:val="28"/>
          <w:szCs w:val="28"/>
        </w:rPr>
        <w:t>.</w:t>
      </w: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критерию стандартного отклонения наименьш</w:t>
      </w:r>
      <w:r w:rsidR="00FC23AB">
        <w:rPr>
          <w:rFonts w:ascii="Arial" w:hAnsi="Arial" w:cs="Arial"/>
          <w:sz w:val="28"/>
          <w:szCs w:val="28"/>
        </w:rPr>
        <w:t>и</w:t>
      </w:r>
      <w:r w:rsidR="00FB20AC">
        <w:rPr>
          <w:rFonts w:ascii="Arial" w:hAnsi="Arial" w:cs="Arial"/>
          <w:sz w:val="28"/>
          <w:szCs w:val="28"/>
        </w:rPr>
        <w:t>й уровень</w:t>
      </w:r>
      <w:r w:rsidR="00FC23A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риска </w:t>
      </w:r>
      <w:r w:rsidR="00FB20AC">
        <w:rPr>
          <w:rFonts w:ascii="Arial" w:hAnsi="Arial" w:cs="Arial"/>
          <w:sz w:val="28"/>
          <w:szCs w:val="28"/>
        </w:rPr>
        <w:t>имеет</w:t>
      </w:r>
      <w:r>
        <w:rPr>
          <w:rFonts w:ascii="Arial" w:hAnsi="Arial" w:cs="Arial"/>
          <w:sz w:val="28"/>
          <w:szCs w:val="28"/>
        </w:rPr>
        <w:t xml:space="preserve"> база А.</w:t>
      </w:r>
    </w:p>
    <w:p w:rsidR="00490094" w:rsidRDefault="00490094" w:rsidP="00490094">
      <w:pPr>
        <w:pStyle w:val="a3"/>
        <w:numPr>
          <w:ilvl w:val="0"/>
          <w:numId w:val="3"/>
        </w:numPr>
        <w:ind w:left="993" w:hanging="4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коэффициент вариации </w:t>
      </w:r>
    </w:p>
    <w:p w:rsidR="00490094" w:rsidRPr="001E3151" w:rsidRDefault="00490094" w:rsidP="00490094">
      <w:pPr>
        <w:pStyle w:val="a3"/>
        <w:ind w:left="567"/>
        <w:rPr>
          <w:rFonts w:ascii="Arial" w:hAnsi="Arial" w:cs="Arial"/>
          <w:sz w:val="28"/>
          <w:szCs w:val="28"/>
        </w:rPr>
      </w:pPr>
      <w:r w:rsidRPr="001E3151">
        <w:rPr>
          <w:position w:val="-28"/>
        </w:rPr>
        <w:object w:dxaOrig="2320" w:dyaOrig="660">
          <v:shape id="_x0000_i1033" type="#_x0000_t75" style="width:116pt;height:33.5pt" o:ole="">
            <v:imagedata r:id="rId21" o:title=""/>
          </v:shape>
          <o:OLEObject Type="Embed" ProgID="Equation.3" ShapeID="_x0000_i1033" DrawAspect="Content" ObjectID="_1410019576" r:id="rId22"/>
        </w:object>
      </w:r>
    </w:p>
    <w:p w:rsidR="00490094" w:rsidRPr="001E3151" w:rsidRDefault="00490094" w:rsidP="00490094">
      <w:pPr>
        <w:pStyle w:val="a3"/>
        <w:ind w:left="567"/>
        <w:rPr>
          <w:rFonts w:ascii="Arial" w:hAnsi="Arial" w:cs="Arial"/>
          <w:sz w:val="28"/>
          <w:szCs w:val="28"/>
        </w:rPr>
      </w:pPr>
      <w:r w:rsidRPr="001E3151">
        <w:rPr>
          <w:position w:val="-28"/>
        </w:rPr>
        <w:object w:dxaOrig="2340" w:dyaOrig="660">
          <v:shape id="_x0000_i1034" type="#_x0000_t75" style="width:117pt;height:33.5pt" o:ole="">
            <v:imagedata r:id="rId23" o:title=""/>
          </v:shape>
          <o:OLEObject Type="Embed" ProgID="Equation.3" ShapeID="_x0000_i1034" DrawAspect="Content" ObjectID="_1410019577" r:id="rId24"/>
        </w:object>
      </w:r>
    </w:p>
    <w:p w:rsidR="00490094" w:rsidRDefault="00490094" w:rsidP="00490094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 значению коэффициента вариации следует выбрать базу А.</w:t>
      </w:r>
    </w:p>
    <w:p w:rsidR="00490094" w:rsidRDefault="00490094" w:rsidP="00490094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Таким образом, различные критерии выбора дают разные варианты решений. Окончательный выбор осуществляет лицо, принимающее решения, в зависимости от степени значимости того или иного критерия. В тоже время следует заметить, что, как правило, наибольшей приоритет отдается коэффициенту вариации.</w:t>
      </w:r>
    </w:p>
    <w:p w:rsidR="00490094" w:rsidRDefault="00490094" w:rsidP="00490094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490094" w:rsidRPr="00C86668" w:rsidRDefault="00490094" w:rsidP="00490094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86668">
        <w:rPr>
          <w:rFonts w:ascii="Arial" w:hAnsi="Arial" w:cs="Arial"/>
          <w:sz w:val="28"/>
          <w:szCs w:val="28"/>
        </w:rPr>
        <w:t xml:space="preserve">На практике </w:t>
      </w:r>
      <w:r>
        <w:rPr>
          <w:rFonts w:ascii="Arial" w:hAnsi="Arial" w:cs="Arial"/>
          <w:sz w:val="28"/>
          <w:szCs w:val="28"/>
        </w:rPr>
        <w:t xml:space="preserve">также </w:t>
      </w:r>
      <w:r w:rsidR="004C639F">
        <w:rPr>
          <w:rFonts w:ascii="Arial" w:hAnsi="Arial" w:cs="Arial"/>
          <w:sz w:val="28"/>
          <w:szCs w:val="28"/>
        </w:rPr>
        <w:t>применяю</w:t>
      </w:r>
      <w:r w:rsidRPr="00C86668">
        <w:rPr>
          <w:rFonts w:ascii="Arial" w:hAnsi="Arial" w:cs="Arial"/>
          <w:sz w:val="28"/>
          <w:szCs w:val="28"/>
        </w:rPr>
        <w:t xml:space="preserve">тся </w:t>
      </w:r>
      <w:r>
        <w:rPr>
          <w:rFonts w:ascii="Arial" w:hAnsi="Arial" w:cs="Arial"/>
          <w:sz w:val="28"/>
          <w:szCs w:val="28"/>
        </w:rPr>
        <w:t>и другие показатели</w:t>
      </w:r>
      <w:r w:rsidRPr="00C86668">
        <w:rPr>
          <w:rFonts w:ascii="Arial" w:hAnsi="Arial" w:cs="Arial"/>
          <w:sz w:val="28"/>
          <w:szCs w:val="28"/>
        </w:rPr>
        <w:t xml:space="preserve"> риска: коэффициенты ликвидности, финансовой устойчивости; плечо финансового, операционного рычагов; коэффициенты эластичности различных экономических показателей по соответствующим факторам; рейтинги ценных бумаг, заемщиков, рынков, государств и т.д</w:t>
      </w:r>
      <w:r w:rsidR="00916423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230FAC">
        <w:rPr>
          <w:rFonts w:ascii="Arial" w:hAnsi="Arial" w:cs="Arial"/>
          <w:sz w:val="28"/>
          <w:szCs w:val="28"/>
        </w:rPr>
        <w:t>[</w:t>
      </w:r>
      <w:r w:rsidRPr="00AB4553">
        <w:rPr>
          <w:rFonts w:ascii="Arial" w:hAnsi="Arial" w:cs="Arial"/>
          <w:sz w:val="28"/>
          <w:szCs w:val="28"/>
        </w:rPr>
        <w:t>3</w:t>
      </w:r>
      <w:r w:rsidRPr="00230FAC">
        <w:rPr>
          <w:rFonts w:ascii="Arial" w:hAnsi="Arial" w:cs="Arial"/>
          <w:sz w:val="28"/>
          <w:szCs w:val="28"/>
        </w:rPr>
        <w:t>]</w:t>
      </w:r>
      <w:r w:rsidRPr="00C86668">
        <w:rPr>
          <w:rFonts w:ascii="Arial" w:hAnsi="Arial" w:cs="Arial"/>
          <w:sz w:val="28"/>
          <w:szCs w:val="28"/>
        </w:rPr>
        <w:t xml:space="preserve">. </w:t>
      </w:r>
      <w:r>
        <w:rPr>
          <w:rFonts w:ascii="Arial" w:hAnsi="Arial" w:cs="Arial"/>
          <w:sz w:val="28"/>
          <w:szCs w:val="28"/>
        </w:rPr>
        <w:t>Некоторые из них будут рассмотрены в следующих разделах</w:t>
      </w:r>
      <w:r w:rsidR="00916423">
        <w:rPr>
          <w:rFonts w:ascii="Arial" w:hAnsi="Arial" w:cs="Arial"/>
          <w:sz w:val="28"/>
          <w:szCs w:val="28"/>
        </w:rPr>
        <w:t xml:space="preserve"> курса</w:t>
      </w:r>
      <w:r>
        <w:rPr>
          <w:rFonts w:ascii="Arial" w:hAnsi="Arial" w:cs="Arial"/>
          <w:sz w:val="28"/>
          <w:szCs w:val="28"/>
        </w:rPr>
        <w:t>.</w:t>
      </w:r>
      <w:r w:rsidRPr="00C86668">
        <w:rPr>
          <w:rFonts w:ascii="Arial" w:hAnsi="Arial" w:cs="Arial"/>
          <w:sz w:val="28"/>
          <w:szCs w:val="28"/>
        </w:rPr>
        <w:t xml:space="preserve"> </w:t>
      </w:r>
    </w:p>
    <w:p w:rsidR="00490094" w:rsidRPr="00C86668" w:rsidRDefault="00490094" w:rsidP="00490094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86668">
        <w:rPr>
          <w:rFonts w:ascii="Arial" w:hAnsi="Arial" w:cs="Arial"/>
          <w:sz w:val="28"/>
          <w:szCs w:val="28"/>
        </w:rPr>
        <w:t>Следует заключить, что, так как риск является вероятностной категорией, поэтому его количественное измерение не может быть однозначным и его величина может меняться в зависимости от метода расч</w:t>
      </w:r>
      <w:r>
        <w:rPr>
          <w:rFonts w:ascii="Arial" w:hAnsi="Arial" w:cs="Arial"/>
          <w:sz w:val="28"/>
          <w:szCs w:val="28"/>
        </w:rPr>
        <w:t>е</w:t>
      </w:r>
      <w:r w:rsidRPr="00C86668">
        <w:rPr>
          <w:rFonts w:ascii="Arial" w:hAnsi="Arial" w:cs="Arial"/>
          <w:sz w:val="28"/>
          <w:szCs w:val="28"/>
        </w:rPr>
        <w:t>та.</w:t>
      </w:r>
    </w:p>
    <w:p w:rsidR="00490094" w:rsidRDefault="00490094" w:rsidP="0049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E72D6" w:rsidRDefault="004E72D6" w:rsidP="0049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67743" w:rsidRDefault="00767743" w:rsidP="0049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67743" w:rsidRDefault="00767743" w:rsidP="0049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67743" w:rsidRDefault="00767743" w:rsidP="0049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67743" w:rsidRPr="00B15DC5" w:rsidRDefault="00767743" w:rsidP="00490094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90094" w:rsidRDefault="00490094" w:rsidP="00490094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Литература</w:t>
      </w:r>
    </w:p>
    <w:p w:rsidR="00490094" w:rsidRPr="00AB4553" w:rsidRDefault="00490094" w:rsidP="00490094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8"/>
          <w:szCs w:val="28"/>
        </w:rPr>
      </w:pPr>
      <w:r w:rsidRPr="00AB4553">
        <w:rPr>
          <w:rFonts w:ascii="Arial" w:hAnsi="Arial" w:cs="Arial"/>
          <w:bCs/>
          <w:sz w:val="28"/>
          <w:szCs w:val="28"/>
        </w:rPr>
        <w:t xml:space="preserve">ГОСТ </w:t>
      </w:r>
      <w:proofErr w:type="gramStart"/>
      <w:r w:rsidRPr="00AB4553">
        <w:rPr>
          <w:rFonts w:ascii="Arial" w:hAnsi="Arial" w:cs="Arial"/>
          <w:bCs/>
          <w:sz w:val="28"/>
          <w:szCs w:val="28"/>
        </w:rPr>
        <w:t>Р</w:t>
      </w:r>
      <w:proofErr w:type="gramEnd"/>
      <w:r w:rsidRPr="00AB4553">
        <w:rPr>
          <w:rFonts w:ascii="Arial" w:hAnsi="Arial" w:cs="Arial"/>
          <w:bCs/>
          <w:sz w:val="28"/>
          <w:szCs w:val="28"/>
        </w:rPr>
        <w:t xml:space="preserve"> 51897–2002. Менеджмент риска. Термины и определения  </w:t>
      </w:r>
      <w:r w:rsidRPr="00AB4553">
        <w:rPr>
          <w:rFonts w:ascii="Arial" w:hAnsi="Arial" w:cs="Arial"/>
          <w:sz w:val="28"/>
          <w:szCs w:val="28"/>
        </w:rPr>
        <w:t xml:space="preserve">[Текст]. – </w:t>
      </w:r>
      <w:proofErr w:type="spellStart"/>
      <w:r w:rsidRPr="00AB4553">
        <w:rPr>
          <w:rFonts w:ascii="Arial" w:hAnsi="Arial" w:cs="Arial"/>
          <w:sz w:val="28"/>
          <w:szCs w:val="28"/>
        </w:rPr>
        <w:t>Введ</w:t>
      </w:r>
      <w:proofErr w:type="spellEnd"/>
      <w:r w:rsidRPr="00AB4553">
        <w:rPr>
          <w:rFonts w:ascii="Arial" w:hAnsi="Arial" w:cs="Arial"/>
          <w:sz w:val="28"/>
          <w:szCs w:val="28"/>
        </w:rPr>
        <w:t>. 2003–01–01. – М.</w:t>
      </w:r>
      <w:proofErr w:type="gramStart"/>
      <w:r w:rsidRPr="00AB4553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AB4553">
        <w:rPr>
          <w:rFonts w:ascii="Arial" w:hAnsi="Arial" w:cs="Arial"/>
          <w:sz w:val="28"/>
          <w:szCs w:val="28"/>
        </w:rPr>
        <w:t xml:space="preserve"> Изд-во стандартов, 2002. – 7 с. </w:t>
      </w:r>
    </w:p>
    <w:p w:rsidR="00490094" w:rsidRPr="00AB4553" w:rsidRDefault="00490094" w:rsidP="00490094">
      <w:pPr>
        <w:pStyle w:val="a3"/>
        <w:numPr>
          <w:ilvl w:val="0"/>
          <w:numId w:val="1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8"/>
          <w:szCs w:val="28"/>
        </w:rPr>
      </w:pPr>
      <w:r w:rsidRPr="00AB4553">
        <w:rPr>
          <w:rFonts w:ascii="Arial" w:hAnsi="Arial" w:cs="Arial"/>
          <w:bCs/>
          <w:sz w:val="28"/>
          <w:szCs w:val="28"/>
        </w:rPr>
        <w:t xml:space="preserve">Энциклопедия финансового риск-менеджмента </w:t>
      </w:r>
      <w:r w:rsidRPr="00AB4553">
        <w:rPr>
          <w:rFonts w:ascii="Arial" w:hAnsi="Arial" w:cs="Arial"/>
          <w:sz w:val="28"/>
          <w:szCs w:val="28"/>
        </w:rPr>
        <w:t>[Текст]</w:t>
      </w:r>
      <w:proofErr w:type="gramStart"/>
      <w:r w:rsidRPr="00AB4553">
        <w:rPr>
          <w:rFonts w:ascii="Arial" w:hAnsi="Arial" w:cs="Arial"/>
          <w:sz w:val="28"/>
          <w:szCs w:val="28"/>
        </w:rPr>
        <w:t xml:space="preserve"> </w:t>
      </w:r>
      <w:r w:rsidRPr="00AB4553">
        <w:rPr>
          <w:rFonts w:ascii="Arial" w:hAnsi="Arial" w:cs="Arial"/>
          <w:bCs/>
          <w:sz w:val="28"/>
          <w:szCs w:val="28"/>
        </w:rPr>
        <w:t>:</w:t>
      </w:r>
      <w:proofErr w:type="gramEnd"/>
      <w:r w:rsidRPr="00AB4553">
        <w:rPr>
          <w:rFonts w:ascii="Arial" w:hAnsi="Arial" w:cs="Arial"/>
          <w:bCs/>
          <w:sz w:val="28"/>
          <w:szCs w:val="28"/>
        </w:rPr>
        <w:t xml:space="preserve"> энциклопедия</w:t>
      </w:r>
      <w:r w:rsidRPr="00AB4553">
        <w:rPr>
          <w:rFonts w:ascii="Arial" w:hAnsi="Arial" w:cs="Arial"/>
          <w:sz w:val="28"/>
          <w:szCs w:val="28"/>
        </w:rPr>
        <w:t xml:space="preserve"> / под ред. А.А. Лобанова, А.В. Чугунова. – 4-е изд., </w:t>
      </w:r>
      <w:proofErr w:type="spellStart"/>
      <w:r w:rsidRPr="00AB4553">
        <w:rPr>
          <w:rFonts w:ascii="Arial" w:hAnsi="Arial" w:cs="Arial"/>
          <w:sz w:val="28"/>
          <w:szCs w:val="28"/>
        </w:rPr>
        <w:t>испр</w:t>
      </w:r>
      <w:proofErr w:type="spellEnd"/>
      <w:r w:rsidRPr="00AB4553">
        <w:rPr>
          <w:rFonts w:ascii="Arial" w:hAnsi="Arial" w:cs="Arial"/>
          <w:sz w:val="28"/>
          <w:szCs w:val="28"/>
        </w:rPr>
        <w:t xml:space="preserve">. и доп. – М. : </w:t>
      </w:r>
      <w:proofErr w:type="spellStart"/>
      <w:r w:rsidRPr="00AB4553">
        <w:rPr>
          <w:rFonts w:ascii="Arial" w:hAnsi="Arial" w:cs="Arial"/>
          <w:sz w:val="28"/>
          <w:szCs w:val="28"/>
        </w:rPr>
        <w:t>Альпина</w:t>
      </w:r>
      <w:proofErr w:type="spellEnd"/>
      <w:r w:rsidRPr="00AB4553">
        <w:rPr>
          <w:rFonts w:ascii="Arial" w:hAnsi="Arial" w:cs="Arial"/>
          <w:sz w:val="28"/>
          <w:szCs w:val="28"/>
        </w:rPr>
        <w:t xml:space="preserve"> Бизнес Букс, 2009. – 931 с.  </w:t>
      </w:r>
    </w:p>
    <w:p w:rsidR="00490094" w:rsidRPr="00AB4553" w:rsidRDefault="00490094" w:rsidP="00490094">
      <w:pPr>
        <w:pStyle w:val="a4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ind w:left="567" w:hanging="567"/>
        <w:jc w:val="both"/>
        <w:rPr>
          <w:rFonts w:ascii="Arial" w:hAnsi="Arial" w:cs="Arial"/>
          <w:sz w:val="28"/>
          <w:szCs w:val="28"/>
        </w:rPr>
      </w:pPr>
      <w:r w:rsidRPr="00AB4553">
        <w:rPr>
          <w:rFonts w:ascii="Arial" w:hAnsi="Arial" w:cs="Arial"/>
          <w:sz w:val="28"/>
          <w:szCs w:val="28"/>
        </w:rPr>
        <w:t xml:space="preserve">Бланк, И.А. Управление финансовыми рисками </w:t>
      </w:r>
      <w:r w:rsidRPr="00AB4553">
        <w:rPr>
          <w:rFonts w:ascii="Arial" w:hAnsi="Arial" w:cs="Arial"/>
          <w:w w:val="101"/>
          <w:sz w:val="28"/>
          <w:szCs w:val="28"/>
        </w:rPr>
        <w:t>[Текст]</w:t>
      </w:r>
      <w:proofErr w:type="gramStart"/>
      <w:r w:rsidRPr="00AB4553">
        <w:rPr>
          <w:rFonts w:ascii="Arial" w:hAnsi="Arial" w:cs="Arial"/>
          <w:w w:val="101"/>
          <w:sz w:val="28"/>
          <w:szCs w:val="28"/>
        </w:rPr>
        <w:t xml:space="preserve"> :</w:t>
      </w:r>
      <w:proofErr w:type="gramEnd"/>
      <w:r w:rsidRPr="00AB4553">
        <w:rPr>
          <w:rFonts w:ascii="Arial" w:hAnsi="Arial" w:cs="Arial"/>
          <w:w w:val="101"/>
          <w:sz w:val="28"/>
          <w:szCs w:val="28"/>
        </w:rPr>
        <w:t xml:space="preserve"> монография </w:t>
      </w:r>
      <w:r w:rsidRPr="00AB4553">
        <w:rPr>
          <w:rFonts w:ascii="Arial" w:hAnsi="Arial" w:cs="Arial"/>
          <w:sz w:val="28"/>
          <w:szCs w:val="28"/>
        </w:rPr>
        <w:t>/ И.А. Бланк. – Киев</w:t>
      </w:r>
      <w:proofErr w:type="gramStart"/>
      <w:r w:rsidRPr="00AB4553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AB4553">
        <w:rPr>
          <w:rFonts w:ascii="Arial" w:hAnsi="Arial" w:cs="Arial"/>
          <w:sz w:val="28"/>
          <w:szCs w:val="28"/>
        </w:rPr>
        <w:t xml:space="preserve"> Ника-Центр, 2005. – 600 </w:t>
      </w:r>
      <w:proofErr w:type="gramStart"/>
      <w:r w:rsidRPr="00AB4553">
        <w:rPr>
          <w:rFonts w:ascii="Arial" w:hAnsi="Arial" w:cs="Arial"/>
          <w:sz w:val="28"/>
          <w:szCs w:val="28"/>
        </w:rPr>
        <w:t>с</w:t>
      </w:r>
      <w:proofErr w:type="gramEnd"/>
      <w:r w:rsidRPr="00AB4553">
        <w:rPr>
          <w:rFonts w:ascii="Arial" w:hAnsi="Arial" w:cs="Arial"/>
          <w:sz w:val="28"/>
          <w:szCs w:val="28"/>
        </w:rPr>
        <w:t>.</w:t>
      </w:r>
    </w:p>
    <w:p w:rsidR="00490094" w:rsidRPr="00312ACA" w:rsidRDefault="00490094" w:rsidP="00490094">
      <w:pPr>
        <w:pStyle w:val="a3"/>
        <w:shd w:val="clear" w:color="auto" w:fill="FFFFFF"/>
        <w:tabs>
          <w:tab w:val="left" w:pos="709"/>
          <w:tab w:val="left" w:pos="851"/>
        </w:tabs>
        <w:ind w:right="10"/>
        <w:jc w:val="both"/>
        <w:rPr>
          <w:sz w:val="28"/>
          <w:szCs w:val="28"/>
        </w:rPr>
      </w:pPr>
    </w:p>
    <w:p w:rsidR="00167AE6" w:rsidRDefault="00167AE6"/>
    <w:sectPr w:rsidR="00167AE6" w:rsidSect="0049009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70EB"/>
    <w:multiLevelType w:val="multilevel"/>
    <w:tmpl w:val="4B48967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293D3484"/>
    <w:multiLevelType w:val="hybridMultilevel"/>
    <w:tmpl w:val="F43E71F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A0C35BA"/>
    <w:multiLevelType w:val="hybridMultilevel"/>
    <w:tmpl w:val="A0A42850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15E6C4C"/>
    <w:multiLevelType w:val="hybridMultilevel"/>
    <w:tmpl w:val="4B1E18CC"/>
    <w:lvl w:ilvl="0" w:tplc="BA7A7912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E4C4C"/>
    <w:multiLevelType w:val="hybridMultilevel"/>
    <w:tmpl w:val="79E83B4A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0094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102ADE"/>
    <w:rsid w:val="00104A59"/>
    <w:rsid w:val="00107CE1"/>
    <w:rsid w:val="00111E23"/>
    <w:rsid w:val="00113BB6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97DCF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563B9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90094"/>
    <w:rsid w:val="004B0138"/>
    <w:rsid w:val="004B4E36"/>
    <w:rsid w:val="004C0D6A"/>
    <w:rsid w:val="004C20D2"/>
    <w:rsid w:val="004C4158"/>
    <w:rsid w:val="004C4F1A"/>
    <w:rsid w:val="004C5ED8"/>
    <w:rsid w:val="004C639F"/>
    <w:rsid w:val="004C7967"/>
    <w:rsid w:val="004D0824"/>
    <w:rsid w:val="004E032F"/>
    <w:rsid w:val="004E4A08"/>
    <w:rsid w:val="004E5ADA"/>
    <w:rsid w:val="004E72D6"/>
    <w:rsid w:val="004F4D0C"/>
    <w:rsid w:val="004F68E2"/>
    <w:rsid w:val="004F739C"/>
    <w:rsid w:val="00500D4F"/>
    <w:rsid w:val="00506586"/>
    <w:rsid w:val="005067AB"/>
    <w:rsid w:val="005111FA"/>
    <w:rsid w:val="005115FF"/>
    <w:rsid w:val="00517F4D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F277F"/>
    <w:rsid w:val="006F4EAC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67743"/>
    <w:rsid w:val="00770D88"/>
    <w:rsid w:val="00773A5E"/>
    <w:rsid w:val="00773AFE"/>
    <w:rsid w:val="0077469B"/>
    <w:rsid w:val="00787D41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A6961"/>
    <w:rsid w:val="008B7F65"/>
    <w:rsid w:val="008C23A1"/>
    <w:rsid w:val="008C4F5D"/>
    <w:rsid w:val="008C5C49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6423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56AE"/>
    <w:rsid w:val="00BC5209"/>
    <w:rsid w:val="00BD2D11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7BAE"/>
    <w:rsid w:val="00DD13BE"/>
    <w:rsid w:val="00DD6CD7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585A"/>
    <w:rsid w:val="00ED6B1C"/>
    <w:rsid w:val="00EE25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6569B"/>
    <w:rsid w:val="00F674C8"/>
    <w:rsid w:val="00F72296"/>
    <w:rsid w:val="00F7365F"/>
    <w:rsid w:val="00F73A44"/>
    <w:rsid w:val="00F77641"/>
    <w:rsid w:val="00F812CC"/>
    <w:rsid w:val="00F8751C"/>
    <w:rsid w:val="00F94FEC"/>
    <w:rsid w:val="00F97B52"/>
    <w:rsid w:val="00FA50B0"/>
    <w:rsid w:val="00FB20AC"/>
    <w:rsid w:val="00FB231F"/>
    <w:rsid w:val="00FB70B9"/>
    <w:rsid w:val="00FC0599"/>
    <w:rsid w:val="00FC23AB"/>
    <w:rsid w:val="00FC23B6"/>
    <w:rsid w:val="00FC28E0"/>
    <w:rsid w:val="00FC2B61"/>
    <w:rsid w:val="00FD1660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94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0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9009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09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10</cp:revision>
  <dcterms:created xsi:type="dcterms:W3CDTF">2012-09-05T13:12:00Z</dcterms:created>
  <dcterms:modified xsi:type="dcterms:W3CDTF">2012-09-24T12:19:00Z</dcterms:modified>
</cp:coreProperties>
</file>